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15CF4" w14:textId="77777777" w:rsidR="00F6613D" w:rsidRPr="007A20BC" w:rsidRDefault="00F6613D" w:rsidP="007C2300">
      <w:pPr>
        <w:spacing w:after="0"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9094BDD" w14:textId="77777777" w:rsidR="007A20BC" w:rsidRPr="007A20BC" w:rsidRDefault="00F2613D" w:rsidP="007A20BC">
      <w:pPr>
        <w:spacing w:after="0" w:line="36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7A20BC">
        <w:rPr>
          <w:rFonts w:ascii="Calibri" w:hAnsi="Calibri" w:cs="Calibri"/>
          <w:b/>
          <w:bCs/>
          <w:sz w:val="28"/>
          <w:szCs w:val="28"/>
        </w:rPr>
        <w:t>LAUDÁCIO</w:t>
      </w:r>
    </w:p>
    <w:p w14:paraId="22F6DAA0" w14:textId="0FA2865D" w:rsidR="009F5425" w:rsidRPr="007A20BC" w:rsidRDefault="00F2613D" w:rsidP="007A20BC">
      <w:pPr>
        <w:spacing w:after="0" w:line="360" w:lineRule="auto"/>
        <w:jc w:val="center"/>
        <w:rPr>
          <w:rFonts w:ascii="Calibri" w:hAnsi="Calibri" w:cs="Calibri"/>
          <w:b/>
          <w:bCs/>
        </w:rPr>
      </w:pPr>
      <w:r w:rsidRPr="007A20BC">
        <w:rPr>
          <w:rFonts w:ascii="Calibri" w:hAnsi="Calibri" w:cs="Calibri"/>
          <w:b/>
          <w:bCs/>
        </w:rPr>
        <w:t xml:space="preserve">RNDr. Peter </w:t>
      </w:r>
      <w:proofErr w:type="spellStart"/>
      <w:r w:rsidRPr="007A20BC">
        <w:rPr>
          <w:rFonts w:ascii="Calibri" w:hAnsi="Calibri" w:cs="Calibri"/>
          <w:b/>
          <w:bCs/>
        </w:rPr>
        <w:t>Griač</w:t>
      </w:r>
      <w:proofErr w:type="spellEnd"/>
      <w:r w:rsidRPr="007A20BC">
        <w:rPr>
          <w:rFonts w:ascii="Calibri" w:hAnsi="Calibri" w:cs="Calibri"/>
          <w:b/>
          <w:bCs/>
        </w:rPr>
        <w:t>, DrSc.</w:t>
      </w:r>
    </w:p>
    <w:p w14:paraId="5635388B" w14:textId="77777777" w:rsidR="007C2300" w:rsidRPr="007A20BC" w:rsidRDefault="007C2300" w:rsidP="007C2300">
      <w:pPr>
        <w:spacing w:after="0" w:line="360" w:lineRule="auto"/>
        <w:jc w:val="both"/>
        <w:rPr>
          <w:rFonts w:ascii="Calibri" w:hAnsi="Calibri" w:cs="Calibri"/>
          <w:i/>
          <w:iCs/>
          <w:sz w:val="22"/>
          <w:szCs w:val="22"/>
        </w:rPr>
      </w:pPr>
    </w:p>
    <w:p w14:paraId="21DFF25B" w14:textId="24B05253" w:rsidR="007C2300" w:rsidRPr="007A20BC" w:rsidRDefault="007C2300" w:rsidP="007C2300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7A20BC">
        <w:rPr>
          <w:rFonts w:ascii="Calibri" w:hAnsi="Calibri" w:cs="Calibri"/>
          <w:sz w:val="22"/>
          <w:szCs w:val="22"/>
        </w:rPr>
        <w:t xml:space="preserve">RNDr. Peter </w:t>
      </w:r>
      <w:proofErr w:type="spellStart"/>
      <w:r w:rsidRPr="007A20BC">
        <w:rPr>
          <w:rFonts w:ascii="Calibri" w:hAnsi="Calibri" w:cs="Calibri"/>
          <w:sz w:val="22"/>
          <w:szCs w:val="22"/>
        </w:rPr>
        <w:t>Griač</w:t>
      </w:r>
      <w:proofErr w:type="spellEnd"/>
      <w:r w:rsidRPr="007A20BC">
        <w:rPr>
          <w:rFonts w:ascii="Calibri" w:hAnsi="Calibri" w:cs="Calibri"/>
          <w:sz w:val="22"/>
          <w:szCs w:val="22"/>
        </w:rPr>
        <w:t xml:space="preserve">, DrSc., patrí medzi popredné osobnosti slovenskej biochémie a bunkovej biológie. Po absolvovaní štúdia biofyziky na Matematicko-fyzikálnej fakulte Univerzity Komenského nastúpil na Ústav biochémie a genetiky živočíchov Slovenskej akadémie vied. Po úspešnom ukončení vedeckej výchovy a získaní titulu CSc. absolvoval trojročný pobyt na </w:t>
      </w:r>
      <w:proofErr w:type="spellStart"/>
      <w:r w:rsidRPr="007A20BC">
        <w:rPr>
          <w:rFonts w:ascii="Calibri" w:hAnsi="Calibri" w:cs="Calibri"/>
          <w:sz w:val="22"/>
          <w:szCs w:val="22"/>
        </w:rPr>
        <w:t>Carnegie</w:t>
      </w:r>
      <w:proofErr w:type="spellEnd"/>
      <w:r w:rsidRPr="007A20B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A20BC">
        <w:rPr>
          <w:rFonts w:ascii="Calibri" w:hAnsi="Calibri" w:cs="Calibri"/>
          <w:sz w:val="22"/>
          <w:szCs w:val="22"/>
        </w:rPr>
        <w:t>Mellon</w:t>
      </w:r>
      <w:proofErr w:type="spellEnd"/>
      <w:r w:rsidRPr="007A20B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A20BC">
        <w:rPr>
          <w:rFonts w:ascii="Calibri" w:hAnsi="Calibri" w:cs="Calibri"/>
          <w:sz w:val="22"/>
          <w:szCs w:val="22"/>
        </w:rPr>
        <w:t>University</w:t>
      </w:r>
      <w:proofErr w:type="spellEnd"/>
      <w:r w:rsidRPr="007A20BC">
        <w:rPr>
          <w:rFonts w:ascii="Calibri" w:hAnsi="Calibri" w:cs="Calibri"/>
          <w:sz w:val="22"/>
          <w:szCs w:val="22"/>
        </w:rPr>
        <w:t xml:space="preserve"> v Pittsburghu (USA), kde pod vedením prof. S. Henry</w:t>
      </w:r>
      <w:r w:rsidR="00B417F0" w:rsidRPr="007A20BC">
        <w:rPr>
          <w:rFonts w:ascii="Calibri" w:hAnsi="Calibri" w:cs="Calibri"/>
          <w:sz w:val="22"/>
          <w:szCs w:val="22"/>
        </w:rPr>
        <w:t>ho</w:t>
      </w:r>
      <w:r w:rsidRPr="007A20BC">
        <w:rPr>
          <w:rFonts w:ascii="Calibri" w:hAnsi="Calibri" w:cs="Calibri"/>
          <w:sz w:val="22"/>
          <w:szCs w:val="22"/>
        </w:rPr>
        <w:t xml:space="preserve"> rozvíjal výskum regulácie biosyntézy fosfolipidov na transkripčnej úrovni. Táto skúsenosť sa stala pevným základom jeho ďalšej vedeckej práce a formovala jeho dlhodobý záujem o štúdium biogenézy bunkových membrán.</w:t>
      </w:r>
    </w:p>
    <w:p w14:paraId="128DB9E1" w14:textId="5C0C0C6D" w:rsidR="0075530A" w:rsidRPr="007A20BC" w:rsidRDefault="007C2300" w:rsidP="007C2300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7A20BC">
        <w:rPr>
          <w:rFonts w:ascii="Calibri" w:hAnsi="Calibri" w:cs="Calibri"/>
          <w:sz w:val="22"/>
          <w:szCs w:val="22"/>
        </w:rPr>
        <w:t xml:space="preserve">Po návrate z USA vybudoval na Ústave biochémie a genetiky živočíchov </w:t>
      </w:r>
      <w:r w:rsidR="007A20BC">
        <w:rPr>
          <w:rFonts w:ascii="Calibri" w:hAnsi="Calibri" w:cs="Calibri"/>
          <w:sz w:val="22"/>
          <w:szCs w:val="22"/>
        </w:rPr>
        <w:t xml:space="preserve">SAV </w:t>
      </w:r>
      <w:r w:rsidRPr="007A20BC">
        <w:rPr>
          <w:rFonts w:ascii="Calibri" w:hAnsi="Calibri" w:cs="Calibri"/>
          <w:sz w:val="22"/>
          <w:szCs w:val="22"/>
        </w:rPr>
        <w:t xml:space="preserve">úspešnú výskumnú skupinu, ktorá sa zameriava na </w:t>
      </w:r>
      <w:r w:rsidR="0075530A" w:rsidRPr="007A20BC">
        <w:rPr>
          <w:rFonts w:ascii="Calibri" w:hAnsi="Calibri" w:cs="Calibri"/>
          <w:sz w:val="22"/>
          <w:szCs w:val="22"/>
        </w:rPr>
        <w:t xml:space="preserve">viaceré aspekty biogenézy membrán, najmä jej </w:t>
      </w:r>
      <w:proofErr w:type="spellStart"/>
      <w:r w:rsidR="0075530A" w:rsidRPr="007A20BC">
        <w:rPr>
          <w:rFonts w:ascii="Calibri" w:hAnsi="Calibri" w:cs="Calibri"/>
          <w:sz w:val="22"/>
          <w:szCs w:val="22"/>
        </w:rPr>
        <w:t>lipidovej</w:t>
      </w:r>
      <w:proofErr w:type="spellEnd"/>
      <w:r w:rsidR="0075530A" w:rsidRPr="007A20BC">
        <w:rPr>
          <w:rFonts w:ascii="Calibri" w:hAnsi="Calibri" w:cs="Calibri"/>
          <w:sz w:val="22"/>
          <w:szCs w:val="22"/>
        </w:rPr>
        <w:t xml:space="preserve"> zložky.</w:t>
      </w:r>
      <w:r w:rsidRPr="007A20BC">
        <w:rPr>
          <w:rFonts w:ascii="Calibri" w:hAnsi="Calibri" w:cs="Calibri"/>
          <w:sz w:val="22"/>
          <w:szCs w:val="22"/>
        </w:rPr>
        <w:t xml:space="preserve"> V tejto oblasti dosiahol so svojím kolektívom viacero prelomových výsledkov. K najvýznamnejším patr</w:t>
      </w:r>
      <w:r w:rsidR="0075530A" w:rsidRPr="007A20BC">
        <w:rPr>
          <w:rFonts w:ascii="Calibri" w:hAnsi="Calibri" w:cs="Calibri"/>
          <w:sz w:val="22"/>
          <w:szCs w:val="22"/>
        </w:rPr>
        <w:t>í</w:t>
      </w:r>
      <w:r w:rsidRPr="007A20BC">
        <w:rPr>
          <w:rFonts w:ascii="Calibri" w:hAnsi="Calibri" w:cs="Calibri"/>
          <w:sz w:val="22"/>
          <w:szCs w:val="22"/>
        </w:rPr>
        <w:t xml:space="preserve"> </w:t>
      </w:r>
      <w:r w:rsidR="0075530A" w:rsidRPr="007A20BC">
        <w:rPr>
          <w:rFonts w:ascii="Calibri" w:hAnsi="Calibri" w:cs="Calibri"/>
          <w:sz w:val="22"/>
          <w:szCs w:val="22"/>
        </w:rPr>
        <w:t xml:space="preserve">objasnenie funkcie kyseliny </w:t>
      </w:r>
      <w:proofErr w:type="spellStart"/>
      <w:r w:rsidR="0075530A" w:rsidRPr="007A20BC">
        <w:rPr>
          <w:rFonts w:ascii="Calibri" w:hAnsi="Calibri" w:cs="Calibri"/>
          <w:sz w:val="22"/>
          <w:szCs w:val="22"/>
        </w:rPr>
        <w:t>fosfatidovej</w:t>
      </w:r>
      <w:proofErr w:type="spellEnd"/>
      <w:r w:rsidR="0075530A" w:rsidRPr="007A20BC">
        <w:rPr>
          <w:rFonts w:ascii="Calibri" w:hAnsi="Calibri" w:cs="Calibri"/>
          <w:sz w:val="22"/>
          <w:szCs w:val="22"/>
        </w:rPr>
        <w:t xml:space="preserve">, ktorá pôsobí ako kľúčová signálna molekula regulujúca biosyntézu fosfolipidov. </w:t>
      </w:r>
      <w:r w:rsidRPr="007A20BC">
        <w:rPr>
          <w:rFonts w:ascii="Calibri" w:hAnsi="Calibri" w:cs="Calibri"/>
          <w:sz w:val="22"/>
          <w:szCs w:val="22"/>
        </w:rPr>
        <w:t xml:space="preserve">Tento objav zásadne prispel k pochopeniu </w:t>
      </w:r>
      <w:r w:rsidR="0075530A" w:rsidRPr="007A20BC">
        <w:rPr>
          <w:rFonts w:ascii="Calibri" w:hAnsi="Calibri" w:cs="Calibri"/>
          <w:sz w:val="22"/>
          <w:szCs w:val="22"/>
        </w:rPr>
        <w:t xml:space="preserve">komplexných </w:t>
      </w:r>
      <w:r w:rsidRPr="007A20BC">
        <w:rPr>
          <w:rFonts w:ascii="Calibri" w:hAnsi="Calibri" w:cs="Calibri"/>
          <w:sz w:val="22"/>
          <w:szCs w:val="22"/>
        </w:rPr>
        <w:t xml:space="preserve">regulačných procesov eukaryotickej transkripcie. </w:t>
      </w:r>
    </w:p>
    <w:p w14:paraId="27614DCC" w14:textId="58872FA0" w:rsidR="007C2300" w:rsidRPr="007A20BC" w:rsidRDefault="007C2300" w:rsidP="007C2300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7A20BC">
        <w:rPr>
          <w:rFonts w:ascii="Calibri" w:hAnsi="Calibri" w:cs="Calibri"/>
          <w:sz w:val="22"/>
          <w:szCs w:val="22"/>
        </w:rPr>
        <w:t xml:space="preserve">Dr. </w:t>
      </w:r>
      <w:proofErr w:type="spellStart"/>
      <w:r w:rsidRPr="007A20BC">
        <w:rPr>
          <w:rFonts w:ascii="Calibri" w:hAnsi="Calibri" w:cs="Calibri"/>
          <w:sz w:val="22"/>
          <w:szCs w:val="22"/>
        </w:rPr>
        <w:t>Griač</w:t>
      </w:r>
      <w:proofErr w:type="spellEnd"/>
      <w:r w:rsidRPr="007A20BC">
        <w:rPr>
          <w:rFonts w:ascii="Calibri" w:hAnsi="Calibri" w:cs="Calibri"/>
          <w:sz w:val="22"/>
          <w:szCs w:val="22"/>
        </w:rPr>
        <w:t xml:space="preserve"> so svojím tímom ďalej identifikoval </w:t>
      </w:r>
      <w:r w:rsidR="0075530A" w:rsidRPr="007A20BC">
        <w:rPr>
          <w:rFonts w:ascii="Calibri" w:hAnsi="Calibri" w:cs="Calibri"/>
          <w:sz w:val="22"/>
          <w:szCs w:val="22"/>
        </w:rPr>
        <w:t xml:space="preserve">dva </w:t>
      </w:r>
      <w:r w:rsidRPr="007A20BC">
        <w:rPr>
          <w:rFonts w:ascii="Calibri" w:hAnsi="Calibri" w:cs="Calibri"/>
          <w:sz w:val="22"/>
          <w:szCs w:val="22"/>
        </w:rPr>
        <w:t xml:space="preserve">nové kvasinkové proteíny zodpovedné za udržiavanie homeostázy bunkových membrán, popísal mechanizmus degradácie prebytočného </w:t>
      </w:r>
      <w:proofErr w:type="spellStart"/>
      <w:r w:rsidRPr="007A20BC">
        <w:rPr>
          <w:rFonts w:ascii="Calibri" w:hAnsi="Calibri" w:cs="Calibri"/>
          <w:sz w:val="22"/>
          <w:szCs w:val="22"/>
        </w:rPr>
        <w:t>fosfatidylglycerolu</w:t>
      </w:r>
      <w:proofErr w:type="spellEnd"/>
      <w:r w:rsidRPr="007A20BC">
        <w:rPr>
          <w:rFonts w:ascii="Calibri" w:hAnsi="Calibri" w:cs="Calibri"/>
          <w:sz w:val="22"/>
          <w:szCs w:val="22"/>
        </w:rPr>
        <w:t xml:space="preserve"> prostredníctvom </w:t>
      </w:r>
      <w:proofErr w:type="spellStart"/>
      <w:r w:rsidRPr="007A20BC">
        <w:rPr>
          <w:rFonts w:ascii="Calibri" w:hAnsi="Calibri" w:cs="Calibri"/>
          <w:sz w:val="22"/>
          <w:szCs w:val="22"/>
        </w:rPr>
        <w:t>fosfolipázy</w:t>
      </w:r>
      <w:proofErr w:type="spellEnd"/>
      <w:r w:rsidRPr="007A20BC">
        <w:rPr>
          <w:rFonts w:ascii="Calibri" w:hAnsi="Calibri" w:cs="Calibri"/>
          <w:sz w:val="22"/>
          <w:szCs w:val="22"/>
        </w:rPr>
        <w:t xml:space="preserve"> Pgc1p a odhalil nový spôsob diferenciálnej </w:t>
      </w:r>
      <w:proofErr w:type="spellStart"/>
      <w:r w:rsidRPr="007A20BC">
        <w:rPr>
          <w:rFonts w:ascii="Calibri" w:hAnsi="Calibri" w:cs="Calibri"/>
          <w:sz w:val="22"/>
          <w:szCs w:val="22"/>
        </w:rPr>
        <w:t>expresie</w:t>
      </w:r>
      <w:proofErr w:type="spellEnd"/>
      <w:r w:rsidRPr="007A20BC">
        <w:rPr>
          <w:rFonts w:ascii="Calibri" w:hAnsi="Calibri" w:cs="Calibri"/>
          <w:sz w:val="22"/>
          <w:szCs w:val="22"/>
        </w:rPr>
        <w:t xml:space="preserve"> génov založený na zachovaní </w:t>
      </w:r>
      <w:proofErr w:type="spellStart"/>
      <w:r w:rsidRPr="007A20BC">
        <w:rPr>
          <w:rFonts w:ascii="Calibri" w:hAnsi="Calibri" w:cs="Calibri"/>
          <w:sz w:val="22"/>
          <w:szCs w:val="22"/>
        </w:rPr>
        <w:t>intrónu</w:t>
      </w:r>
      <w:proofErr w:type="spellEnd"/>
      <w:r w:rsidRPr="007A20BC">
        <w:rPr>
          <w:rFonts w:ascii="Calibri" w:hAnsi="Calibri" w:cs="Calibri"/>
          <w:sz w:val="22"/>
          <w:szCs w:val="22"/>
        </w:rPr>
        <w:t xml:space="preserve"> v mRNA. Jeho práce tiež významne prispeli k pochopeniu transportu lipidov prostredníctvom proteínov Sec14 a ich </w:t>
      </w:r>
      <w:proofErr w:type="spellStart"/>
      <w:r w:rsidRPr="007A20BC">
        <w:rPr>
          <w:rFonts w:ascii="Calibri" w:hAnsi="Calibri" w:cs="Calibri"/>
          <w:sz w:val="22"/>
          <w:szCs w:val="22"/>
        </w:rPr>
        <w:t>homológov</w:t>
      </w:r>
      <w:proofErr w:type="spellEnd"/>
      <w:r w:rsidRPr="007A20BC">
        <w:rPr>
          <w:rFonts w:ascii="Calibri" w:hAnsi="Calibri" w:cs="Calibri"/>
          <w:sz w:val="22"/>
          <w:szCs w:val="22"/>
        </w:rPr>
        <w:t>.</w:t>
      </w:r>
    </w:p>
    <w:p w14:paraId="5AF2628D" w14:textId="122B4AC2" w:rsidR="007C2300" w:rsidRPr="007A20BC" w:rsidRDefault="007C2300" w:rsidP="007C2300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7A20BC">
        <w:rPr>
          <w:rFonts w:ascii="Calibri" w:hAnsi="Calibri" w:cs="Calibri"/>
          <w:sz w:val="22"/>
          <w:szCs w:val="22"/>
        </w:rPr>
        <w:t xml:space="preserve">Výsledky jeho výskumu boli publikované v prestížnych medzinárodných časopisoch, je autorom </w:t>
      </w:r>
      <w:r w:rsidR="00AD15DD" w:rsidRPr="007A20BC">
        <w:rPr>
          <w:rFonts w:ascii="Calibri" w:hAnsi="Calibri" w:cs="Calibri"/>
          <w:sz w:val="22"/>
          <w:szCs w:val="22"/>
        </w:rPr>
        <w:t>pä</w:t>
      </w:r>
      <w:r w:rsidR="003E576F" w:rsidRPr="007A20BC">
        <w:rPr>
          <w:rFonts w:ascii="Calibri" w:hAnsi="Calibri" w:cs="Calibri"/>
          <w:sz w:val="22"/>
          <w:szCs w:val="22"/>
        </w:rPr>
        <w:t>ťde</w:t>
      </w:r>
      <w:r w:rsidRPr="007A20BC">
        <w:rPr>
          <w:rFonts w:ascii="Calibri" w:hAnsi="Calibri" w:cs="Calibri"/>
          <w:sz w:val="22"/>
          <w:szCs w:val="22"/>
        </w:rPr>
        <w:t xml:space="preserve">siatich vedeckých prác, ktoré boli citované </w:t>
      </w:r>
      <w:r w:rsidR="003E576F" w:rsidRPr="007A20BC">
        <w:rPr>
          <w:rFonts w:ascii="Calibri" w:hAnsi="Calibri" w:cs="Calibri"/>
          <w:sz w:val="22"/>
          <w:szCs w:val="22"/>
        </w:rPr>
        <w:t>takmer</w:t>
      </w:r>
      <w:r w:rsidRPr="007A20BC">
        <w:rPr>
          <w:rFonts w:ascii="Calibri" w:hAnsi="Calibri" w:cs="Calibri"/>
          <w:sz w:val="22"/>
          <w:szCs w:val="22"/>
        </w:rPr>
        <w:t xml:space="preserve"> 9</w:t>
      </w:r>
      <w:r w:rsidR="003E576F" w:rsidRPr="007A20BC">
        <w:rPr>
          <w:rFonts w:ascii="Calibri" w:hAnsi="Calibri" w:cs="Calibri"/>
          <w:sz w:val="22"/>
          <w:szCs w:val="22"/>
        </w:rPr>
        <w:t>5</w:t>
      </w:r>
      <w:r w:rsidRPr="007A20BC">
        <w:rPr>
          <w:rFonts w:ascii="Calibri" w:hAnsi="Calibri" w:cs="Calibri"/>
          <w:sz w:val="22"/>
          <w:szCs w:val="22"/>
        </w:rPr>
        <w:t xml:space="preserve">0-krát, a jeho h-index </w:t>
      </w:r>
      <w:r w:rsidR="00571F61" w:rsidRPr="007A20BC">
        <w:rPr>
          <w:rFonts w:ascii="Calibri" w:hAnsi="Calibri" w:cs="Calibri"/>
          <w:sz w:val="22"/>
          <w:szCs w:val="22"/>
        </w:rPr>
        <w:t>je</w:t>
      </w:r>
      <w:r w:rsidRPr="007A20BC">
        <w:rPr>
          <w:rFonts w:ascii="Calibri" w:hAnsi="Calibri" w:cs="Calibri"/>
          <w:sz w:val="22"/>
          <w:szCs w:val="22"/>
        </w:rPr>
        <w:t xml:space="preserve"> 19. Redakcie </w:t>
      </w:r>
      <w:r w:rsidR="00571F61" w:rsidRPr="007A20BC">
        <w:rPr>
          <w:rFonts w:ascii="Calibri" w:hAnsi="Calibri" w:cs="Calibri"/>
          <w:sz w:val="22"/>
          <w:szCs w:val="22"/>
        </w:rPr>
        <w:t xml:space="preserve">dvoch </w:t>
      </w:r>
      <w:r w:rsidRPr="007A20BC">
        <w:rPr>
          <w:rFonts w:ascii="Calibri" w:hAnsi="Calibri" w:cs="Calibri"/>
          <w:sz w:val="22"/>
          <w:szCs w:val="22"/>
        </w:rPr>
        <w:t xml:space="preserve">významných časopisov ho oslovili na spracovanie prehľadných článkov </w:t>
      </w:r>
      <w:r w:rsidR="0075530A" w:rsidRPr="007A20BC">
        <w:rPr>
          <w:rFonts w:ascii="Calibri" w:hAnsi="Calibri" w:cs="Calibri"/>
          <w:sz w:val="22"/>
          <w:szCs w:val="22"/>
        </w:rPr>
        <w:t xml:space="preserve">na tému „Sec14 </w:t>
      </w:r>
      <w:proofErr w:type="spellStart"/>
      <w:r w:rsidR="0075530A" w:rsidRPr="007A20BC">
        <w:rPr>
          <w:rFonts w:ascii="Calibri" w:hAnsi="Calibri" w:cs="Calibri"/>
          <w:sz w:val="22"/>
          <w:szCs w:val="22"/>
        </w:rPr>
        <w:t>related</w:t>
      </w:r>
      <w:proofErr w:type="spellEnd"/>
      <w:r w:rsidR="0075530A" w:rsidRPr="007A20BC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75530A" w:rsidRPr="007A20BC">
        <w:rPr>
          <w:rFonts w:ascii="Calibri" w:hAnsi="Calibri" w:cs="Calibri"/>
          <w:sz w:val="22"/>
          <w:szCs w:val="22"/>
        </w:rPr>
        <w:t>proteins</w:t>
      </w:r>
      <w:proofErr w:type="spellEnd"/>
      <w:r w:rsidR="0075530A" w:rsidRPr="007A20BC">
        <w:rPr>
          <w:rFonts w:ascii="Calibri" w:hAnsi="Calibri" w:cs="Calibri"/>
          <w:sz w:val="22"/>
          <w:szCs w:val="22"/>
        </w:rPr>
        <w:t xml:space="preserve"> in </w:t>
      </w:r>
      <w:proofErr w:type="spellStart"/>
      <w:r w:rsidR="0075530A" w:rsidRPr="007A20BC">
        <w:rPr>
          <w:rFonts w:ascii="Calibri" w:hAnsi="Calibri" w:cs="Calibri"/>
          <w:sz w:val="22"/>
          <w:szCs w:val="22"/>
        </w:rPr>
        <w:t>yeast</w:t>
      </w:r>
      <w:proofErr w:type="spellEnd"/>
      <w:r w:rsidR="00571F61" w:rsidRPr="007A20BC">
        <w:rPr>
          <w:rFonts w:ascii="Calibri" w:hAnsi="Calibri" w:cs="Calibri"/>
          <w:sz w:val="22"/>
          <w:szCs w:val="22"/>
        </w:rPr>
        <w:t>“</w:t>
      </w:r>
      <w:r w:rsidRPr="007A20BC">
        <w:rPr>
          <w:rFonts w:ascii="Calibri" w:hAnsi="Calibri" w:cs="Calibri"/>
          <w:sz w:val="22"/>
          <w:szCs w:val="22"/>
        </w:rPr>
        <w:t xml:space="preserve">, čo potvrdzuje </w:t>
      </w:r>
      <w:r w:rsidR="003E576F" w:rsidRPr="007A20BC">
        <w:rPr>
          <w:rFonts w:ascii="Calibri" w:hAnsi="Calibri" w:cs="Calibri"/>
          <w:sz w:val="22"/>
          <w:szCs w:val="22"/>
        </w:rPr>
        <w:t xml:space="preserve">aj </w:t>
      </w:r>
      <w:r w:rsidRPr="007A20BC">
        <w:rPr>
          <w:rFonts w:ascii="Calibri" w:hAnsi="Calibri" w:cs="Calibri"/>
          <w:sz w:val="22"/>
          <w:szCs w:val="22"/>
        </w:rPr>
        <w:t>jeho medzinárodné uznanie v odbore. Významný je aj jeho spoluautorský podiel na americkom patente z oblasti produkcie metabolitov fosfolipidov v kvasinkách.</w:t>
      </w:r>
    </w:p>
    <w:p w14:paraId="1FBB9417" w14:textId="02245014" w:rsidR="007C2300" w:rsidRPr="007A20BC" w:rsidRDefault="007C2300" w:rsidP="007C2300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7A20BC">
        <w:rPr>
          <w:rFonts w:ascii="Calibri" w:hAnsi="Calibri" w:cs="Calibri"/>
          <w:sz w:val="22"/>
          <w:szCs w:val="22"/>
        </w:rPr>
        <w:t xml:space="preserve">Dr. </w:t>
      </w:r>
      <w:proofErr w:type="spellStart"/>
      <w:r w:rsidRPr="007A20BC">
        <w:rPr>
          <w:rFonts w:ascii="Calibri" w:hAnsi="Calibri" w:cs="Calibri"/>
          <w:sz w:val="22"/>
          <w:szCs w:val="22"/>
        </w:rPr>
        <w:t>Griač</w:t>
      </w:r>
      <w:proofErr w:type="spellEnd"/>
      <w:r w:rsidRPr="007A20BC">
        <w:rPr>
          <w:rFonts w:ascii="Calibri" w:hAnsi="Calibri" w:cs="Calibri"/>
          <w:sz w:val="22"/>
          <w:szCs w:val="22"/>
        </w:rPr>
        <w:t xml:space="preserve"> </w:t>
      </w:r>
      <w:r w:rsidR="005F7649" w:rsidRPr="007A20BC">
        <w:rPr>
          <w:rFonts w:ascii="Calibri" w:hAnsi="Calibri" w:cs="Calibri"/>
          <w:sz w:val="22"/>
          <w:szCs w:val="22"/>
        </w:rPr>
        <w:t>n</w:t>
      </w:r>
      <w:r w:rsidRPr="007A20BC">
        <w:rPr>
          <w:rFonts w:ascii="Calibri" w:hAnsi="Calibri" w:cs="Calibri"/>
          <w:sz w:val="22"/>
          <w:szCs w:val="22"/>
        </w:rPr>
        <w:t>a Ústave biochémie a genetiky živočíchov</w:t>
      </w:r>
      <w:r w:rsidR="00716CE0">
        <w:rPr>
          <w:rFonts w:ascii="Calibri" w:hAnsi="Calibri" w:cs="Calibri"/>
          <w:sz w:val="22"/>
          <w:szCs w:val="22"/>
        </w:rPr>
        <w:t xml:space="preserve"> (ÚBGŽ) SAV</w:t>
      </w:r>
      <w:r w:rsidRPr="007A20BC">
        <w:rPr>
          <w:rFonts w:ascii="Calibri" w:hAnsi="Calibri" w:cs="Calibri"/>
          <w:sz w:val="22"/>
          <w:szCs w:val="22"/>
        </w:rPr>
        <w:t xml:space="preserve"> pôsobil dvanásť rokov ako vedúci Oddelenia biochémie membrán a desať rokov ako predseda vedeckej rady ústavu. Bol členom komisie VEGA</w:t>
      </w:r>
      <w:r w:rsidR="005F7649" w:rsidRPr="007A20BC">
        <w:rPr>
          <w:rFonts w:ascii="Calibri" w:hAnsi="Calibri" w:cs="Calibri"/>
          <w:sz w:val="22"/>
          <w:szCs w:val="22"/>
        </w:rPr>
        <w:t>,</w:t>
      </w:r>
      <w:r w:rsidRPr="007A20BC">
        <w:rPr>
          <w:rFonts w:ascii="Calibri" w:hAnsi="Calibri" w:cs="Calibri"/>
          <w:sz w:val="22"/>
          <w:szCs w:val="22"/>
        </w:rPr>
        <w:t xml:space="preserve"> pôsobí ako expert Ministerstva životného prostredia SR pre biologickú bezpečnosť</w:t>
      </w:r>
      <w:r w:rsidR="005F7649" w:rsidRPr="007A20BC">
        <w:rPr>
          <w:rFonts w:ascii="Calibri" w:hAnsi="Calibri" w:cs="Calibri"/>
          <w:sz w:val="22"/>
          <w:szCs w:val="22"/>
        </w:rPr>
        <w:t>, na ÚBGŽ vyškolil sedem doktorandov, z ktorých viacerí dnes pôsobia ako vedúci samostatných výskumných skupín a p</w:t>
      </w:r>
      <w:r w:rsidRPr="007A20BC">
        <w:rPr>
          <w:rFonts w:ascii="Calibri" w:hAnsi="Calibri" w:cs="Calibri"/>
          <w:sz w:val="22"/>
          <w:szCs w:val="22"/>
        </w:rPr>
        <w:t>edagogicky spolupracuje s Prírodovedeckou fakultou UK</w:t>
      </w:r>
      <w:r w:rsidR="005F7649" w:rsidRPr="007A20BC">
        <w:rPr>
          <w:rFonts w:ascii="Calibri" w:hAnsi="Calibri" w:cs="Calibri"/>
          <w:sz w:val="22"/>
          <w:szCs w:val="22"/>
        </w:rPr>
        <w:t>.</w:t>
      </w:r>
      <w:r w:rsidR="00571F61" w:rsidRPr="007A20BC">
        <w:rPr>
          <w:rFonts w:ascii="Calibri" w:hAnsi="Calibri" w:cs="Calibri"/>
          <w:sz w:val="22"/>
          <w:szCs w:val="22"/>
        </w:rPr>
        <w:t xml:space="preserve"> </w:t>
      </w:r>
      <w:r w:rsidR="00716CE0">
        <w:rPr>
          <w:rFonts w:ascii="Calibri" w:hAnsi="Calibri" w:cs="Calibri"/>
          <w:sz w:val="22"/>
          <w:szCs w:val="22"/>
        </w:rPr>
        <w:t>V</w:t>
      </w:r>
      <w:r w:rsidRPr="007A20BC">
        <w:rPr>
          <w:rFonts w:ascii="Calibri" w:hAnsi="Calibri" w:cs="Calibri"/>
          <w:sz w:val="22"/>
          <w:szCs w:val="22"/>
        </w:rPr>
        <w:t xml:space="preserve">ytvoril </w:t>
      </w:r>
      <w:r w:rsidR="00716CE0">
        <w:rPr>
          <w:rFonts w:ascii="Calibri" w:hAnsi="Calibri" w:cs="Calibri"/>
          <w:sz w:val="22"/>
          <w:szCs w:val="22"/>
        </w:rPr>
        <w:t xml:space="preserve">tak </w:t>
      </w:r>
      <w:r w:rsidRPr="007A20BC">
        <w:rPr>
          <w:rFonts w:ascii="Calibri" w:hAnsi="Calibri" w:cs="Calibri"/>
          <w:sz w:val="22"/>
          <w:szCs w:val="22"/>
        </w:rPr>
        <w:t xml:space="preserve">úspešnú vedeckú školu, ktorá </w:t>
      </w:r>
      <w:r w:rsidR="00571F61" w:rsidRPr="007A20BC">
        <w:rPr>
          <w:rFonts w:ascii="Calibri" w:hAnsi="Calibri" w:cs="Calibri"/>
          <w:sz w:val="22"/>
          <w:szCs w:val="22"/>
        </w:rPr>
        <w:t xml:space="preserve">ďalej </w:t>
      </w:r>
      <w:r w:rsidRPr="007A20BC">
        <w:rPr>
          <w:rFonts w:ascii="Calibri" w:hAnsi="Calibri" w:cs="Calibri"/>
          <w:sz w:val="22"/>
          <w:szCs w:val="22"/>
        </w:rPr>
        <w:t>rozvíja excelentn</w:t>
      </w:r>
      <w:r w:rsidR="00571F61" w:rsidRPr="007A20BC">
        <w:rPr>
          <w:rFonts w:ascii="Calibri" w:hAnsi="Calibri" w:cs="Calibri"/>
          <w:sz w:val="22"/>
          <w:szCs w:val="22"/>
        </w:rPr>
        <w:t>ý</w:t>
      </w:r>
      <w:r w:rsidRPr="007A20BC">
        <w:rPr>
          <w:rFonts w:ascii="Calibri" w:hAnsi="Calibri" w:cs="Calibri"/>
          <w:sz w:val="22"/>
          <w:szCs w:val="22"/>
        </w:rPr>
        <w:t xml:space="preserve"> výskum v oblasti biochémie membrán.</w:t>
      </w:r>
    </w:p>
    <w:p w14:paraId="7A2CFA2A" w14:textId="6BEFB7D1" w:rsidR="007C2300" w:rsidRPr="007A20BC" w:rsidRDefault="007C2300" w:rsidP="007C2300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7A20BC">
        <w:rPr>
          <w:rFonts w:ascii="Calibri" w:hAnsi="Calibri" w:cs="Calibri"/>
          <w:sz w:val="22"/>
          <w:szCs w:val="22"/>
        </w:rPr>
        <w:lastRenderedPageBreak/>
        <w:t xml:space="preserve">RNDr. Peter </w:t>
      </w:r>
      <w:proofErr w:type="spellStart"/>
      <w:r w:rsidRPr="007A20BC">
        <w:rPr>
          <w:rFonts w:ascii="Calibri" w:hAnsi="Calibri" w:cs="Calibri"/>
          <w:sz w:val="22"/>
          <w:szCs w:val="22"/>
        </w:rPr>
        <w:t>Griač</w:t>
      </w:r>
      <w:proofErr w:type="spellEnd"/>
      <w:r w:rsidRPr="007A20BC">
        <w:rPr>
          <w:rFonts w:ascii="Calibri" w:hAnsi="Calibri" w:cs="Calibri"/>
          <w:sz w:val="22"/>
          <w:szCs w:val="22"/>
        </w:rPr>
        <w:t>, DrSc., je vedcom s hlbokým porozumením pre základné mechanizmy bunkového života, výnimočným pedagógom a dlhoročným organizátorom vedeckého života. Jeho osobnosť a práca významne prispeli k rozvoju fyzikálno-chemických vied na Slovensku</w:t>
      </w:r>
      <w:r w:rsidR="006C27C2" w:rsidRPr="007A20BC">
        <w:rPr>
          <w:rFonts w:ascii="Calibri" w:hAnsi="Calibri" w:cs="Calibri"/>
          <w:sz w:val="22"/>
          <w:szCs w:val="22"/>
        </w:rPr>
        <w:t>, ako</w:t>
      </w:r>
      <w:r w:rsidR="00571F61" w:rsidRPr="007A20BC">
        <w:rPr>
          <w:rFonts w:ascii="Calibri" w:hAnsi="Calibri" w:cs="Calibri"/>
          <w:sz w:val="22"/>
          <w:szCs w:val="22"/>
        </w:rPr>
        <w:t xml:space="preserve"> aj </w:t>
      </w:r>
      <w:r w:rsidRPr="007A20BC">
        <w:rPr>
          <w:rFonts w:ascii="Calibri" w:hAnsi="Calibri" w:cs="Calibri"/>
          <w:sz w:val="22"/>
          <w:szCs w:val="22"/>
        </w:rPr>
        <w:t xml:space="preserve"> k medzinárodnej prestíži Slovenskej akadémie vied.</w:t>
      </w:r>
    </w:p>
    <w:p w14:paraId="657CC1BB" w14:textId="70B7CAAF" w:rsidR="00E67A54" w:rsidRPr="007A20BC" w:rsidRDefault="007C2300" w:rsidP="007C2300">
      <w:pPr>
        <w:spacing w:after="0" w:line="360" w:lineRule="auto"/>
        <w:jc w:val="both"/>
        <w:rPr>
          <w:rFonts w:ascii="Calibri" w:hAnsi="Calibri" w:cs="Calibri"/>
          <w:sz w:val="22"/>
          <w:szCs w:val="22"/>
        </w:rPr>
      </w:pPr>
      <w:r w:rsidRPr="007A20BC">
        <w:rPr>
          <w:rFonts w:ascii="Calibri" w:hAnsi="Calibri" w:cs="Calibri"/>
          <w:sz w:val="22"/>
          <w:szCs w:val="22"/>
        </w:rPr>
        <w:t xml:space="preserve">Za tieto zásluhy a za jeho mimoriadny prínos k poznaniu biochemických mechanizmov bunky sa RNDr. Petrovi </w:t>
      </w:r>
      <w:proofErr w:type="spellStart"/>
      <w:r w:rsidRPr="007A20BC">
        <w:rPr>
          <w:rFonts w:ascii="Calibri" w:hAnsi="Calibri" w:cs="Calibri"/>
          <w:sz w:val="22"/>
          <w:szCs w:val="22"/>
        </w:rPr>
        <w:t>Griačovi</w:t>
      </w:r>
      <w:proofErr w:type="spellEnd"/>
      <w:r w:rsidRPr="007A20BC">
        <w:rPr>
          <w:rFonts w:ascii="Calibri" w:hAnsi="Calibri" w:cs="Calibri"/>
          <w:sz w:val="22"/>
          <w:szCs w:val="22"/>
        </w:rPr>
        <w:t xml:space="preserve">, DrSc., udeľuje Čestná plaketa </w:t>
      </w:r>
      <w:r w:rsidR="00F6613D" w:rsidRPr="007A20BC">
        <w:rPr>
          <w:rFonts w:ascii="Calibri" w:hAnsi="Calibri" w:cs="Calibri"/>
          <w:sz w:val="22"/>
          <w:szCs w:val="22"/>
        </w:rPr>
        <w:t>SAV</w:t>
      </w:r>
      <w:r w:rsidRPr="007A20BC">
        <w:rPr>
          <w:rFonts w:ascii="Calibri" w:hAnsi="Calibri" w:cs="Calibri"/>
          <w:sz w:val="22"/>
          <w:szCs w:val="22"/>
        </w:rPr>
        <w:t xml:space="preserve"> Dionýza Ilkoviča</w:t>
      </w:r>
      <w:r w:rsidR="00F6613D" w:rsidRPr="007A20BC">
        <w:rPr>
          <w:rFonts w:ascii="Calibri" w:hAnsi="Calibri" w:cs="Calibri"/>
          <w:sz w:val="22"/>
          <w:szCs w:val="22"/>
        </w:rPr>
        <w:t xml:space="preserve"> za zásluhy vo fyzikálno-chemických vedách</w:t>
      </w:r>
      <w:r w:rsidRPr="007A20BC">
        <w:rPr>
          <w:rFonts w:ascii="Calibri" w:hAnsi="Calibri" w:cs="Calibri"/>
          <w:sz w:val="22"/>
          <w:szCs w:val="22"/>
        </w:rPr>
        <w:t>.</w:t>
      </w:r>
      <w:r w:rsidR="0075530A" w:rsidRPr="007A20BC">
        <w:rPr>
          <w:rFonts w:ascii="Calibri" w:hAnsi="Calibri" w:cs="Calibri"/>
          <w:sz w:val="22"/>
          <w:szCs w:val="22"/>
        </w:rPr>
        <w:t xml:space="preserve">  </w:t>
      </w:r>
    </w:p>
    <w:p w14:paraId="4F5166E4" w14:textId="729B9246" w:rsidR="007C2300" w:rsidRPr="007A20BC" w:rsidRDefault="007C2300" w:rsidP="007C2300">
      <w:pPr>
        <w:spacing w:after="0"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sectPr w:rsidR="007C2300" w:rsidRPr="007A2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13D"/>
    <w:rsid w:val="000E7121"/>
    <w:rsid w:val="003E576F"/>
    <w:rsid w:val="005376E4"/>
    <w:rsid w:val="00571F61"/>
    <w:rsid w:val="005F7649"/>
    <w:rsid w:val="00640CA4"/>
    <w:rsid w:val="006C27C2"/>
    <w:rsid w:val="00716CE0"/>
    <w:rsid w:val="0075530A"/>
    <w:rsid w:val="007A20BC"/>
    <w:rsid w:val="007C2300"/>
    <w:rsid w:val="009F5425"/>
    <w:rsid w:val="00AD15DD"/>
    <w:rsid w:val="00B417F0"/>
    <w:rsid w:val="00C40AD4"/>
    <w:rsid w:val="00D0001B"/>
    <w:rsid w:val="00D239A0"/>
    <w:rsid w:val="00E17F2C"/>
    <w:rsid w:val="00E67A54"/>
    <w:rsid w:val="00EC0CB5"/>
    <w:rsid w:val="00F2613D"/>
    <w:rsid w:val="00F6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54FC3"/>
  <w15:chartTrackingRefBased/>
  <w15:docId w15:val="{280CCAA4-CD70-4138-A85C-01EF68041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F261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F261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F261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261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261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261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261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261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261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F261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F261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F261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2613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2613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2613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2613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2613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2613D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F261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F261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261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F261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F261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F2613D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F2613D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F2613D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261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2613D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F2613D"/>
    <w:rPr>
      <w:b/>
      <w:bCs/>
      <w:smallCaps/>
      <w:color w:val="0F4761" w:themeColor="accent1" w:themeShade="BF"/>
      <w:spacing w:val="5"/>
    </w:rPr>
  </w:style>
  <w:style w:type="paragraph" w:styleId="Normlnywebov">
    <w:name w:val="Normal (Web)"/>
    <w:basedOn w:val="Normlny"/>
    <w:uiPriority w:val="99"/>
    <w:semiHidden/>
    <w:unhideWhenUsed/>
    <w:rsid w:val="007C2300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Antolová</dc:creator>
  <cp:keywords/>
  <dc:description/>
  <cp:lastModifiedBy>Andrea Nozdrovická</cp:lastModifiedBy>
  <cp:revision>2</cp:revision>
  <cp:lastPrinted>2025-11-18T08:52:00Z</cp:lastPrinted>
  <dcterms:created xsi:type="dcterms:W3CDTF">2025-11-18T10:46:00Z</dcterms:created>
  <dcterms:modified xsi:type="dcterms:W3CDTF">2025-11-18T10:46:00Z</dcterms:modified>
</cp:coreProperties>
</file>