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3A5" w:rsidRDefault="00DD53A5" w:rsidP="00DD53A5">
      <w:pPr>
        <w:spacing w:after="0" w:line="360" w:lineRule="auto"/>
      </w:pPr>
      <w:r>
        <w:rPr>
          <w:b/>
        </w:rPr>
        <w:t xml:space="preserve">Supplementary </w:t>
      </w:r>
      <w:r w:rsidR="009E41C7">
        <w:rPr>
          <w:b/>
        </w:rPr>
        <w:t>T</w:t>
      </w:r>
      <w:r>
        <w:rPr>
          <w:b/>
        </w:rPr>
        <w:t xml:space="preserve">able </w:t>
      </w:r>
      <w:r w:rsidR="009E41C7">
        <w:rPr>
          <w:b/>
        </w:rPr>
        <w:t>S3</w:t>
      </w:r>
      <w:bookmarkStart w:id="0" w:name="_GoBack"/>
      <w:bookmarkEnd w:id="0"/>
      <w:r>
        <w:t xml:space="preserve"> List of zircon analyses included in this review</w:t>
      </w:r>
    </w:p>
    <w:tbl>
      <w:tblPr>
        <w:tblStyle w:val="Mriekatabuky"/>
        <w:tblW w:w="4757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3"/>
        <w:gridCol w:w="1926"/>
        <w:gridCol w:w="1924"/>
        <w:gridCol w:w="1391"/>
        <w:gridCol w:w="2100"/>
      </w:tblGrid>
      <w:tr w:rsidR="00DD53A5" w:rsidTr="00DD53A5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Pluton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Country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Geochemical type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Number of analyzes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Reference</w:t>
            </w:r>
          </w:p>
        </w:tc>
      </w:tr>
      <w:tr w:rsidR="00DD53A5" w:rsidTr="00DD53A5">
        <w:tc>
          <w:tcPr>
            <w:tcW w:w="99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53A5" w:rsidRDefault="00DD53A5">
            <w:pPr>
              <w:spacing w:after="0" w:line="360" w:lineRule="auto"/>
            </w:pPr>
            <w:r>
              <w:t xml:space="preserve">Nejdek 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53A5" w:rsidRDefault="00DD53A5">
            <w:pPr>
              <w:spacing w:after="0" w:line="360" w:lineRule="auto"/>
            </w:pPr>
            <w:r>
              <w:t>Czechia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53A5" w:rsidRDefault="00DD53A5">
            <w:pPr>
              <w:spacing w:after="0" w:line="360" w:lineRule="auto"/>
            </w:pPr>
            <w:r>
              <w:t>evolved S-type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572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53A5" w:rsidRDefault="00DD53A5">
            <w:pPr>
              <w:spacing w:after="0" w:line="360" w:lineRule="auto"/>
            </w:pPr>
            <w:r>
              <w:t>Breiter et al. 2006, Breiter 2016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Beauvoir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France</w:t>
            </w:r>
          </w:p>
        </w:tc>
        <w:tc>
          <w:tcPr>
            <w:tcW w:w="1051" w:type="pct"/>
            <w:hideMark/>
          </w:tcPr>
          <w:p w:rsidR="00DD53A5" w:rsidRDefault="00DD53A5">
            <w:r>
              <w:t>evolved S-type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86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 xml:space="preserve">Breiter </w:t>
            </w:r>
            <w:r>
              <w:rPr>
                <w:rFonts w:cs="Calibri"/>
              </w:rPr>
              <w:t>&amp;</w:t>
            </w:r>
            <w:r>
              <w:t xml:space="preserve"> Škoda 2012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Panasqueira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Portugal</w:t>
            </w:r>
          </w:p>
        </w:tc>
        <w:tc>
          <w:tcPr>
            <w:tcW w:w="1051" w:type="pct"/>
            <w:hideMark/>
          </w:tcPr>
          <w:p w:rsidR="00DD53A5" w:rsidRDefault="00DD53A5">
            <w:r>
              <w:t>evolved S-type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69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Breiter et al. 2023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Argemela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Portugal</w:t>
            </w:r>
          </w:p>
        </w:tc>
        <w:tc>
          <w:tcPr>
            <w:tcW w:w="1051" w:type="pct"/>
            <w:hideMark/>
          </w:tcPr>
          <w:p w:rsidR="00DD53A5" w:rsidRDefault="00DD53A5">
            <w:r>
              <w:t>evolved S-type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32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Breiter et al. 2022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Cornwall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England</w:t>
            </w:r>
          </w:p>
        </w:tc>
        <w:tc>
          <w:tcPr>
            <w:tcW w:w="1051" w:type="pct"/>
            <w:hideMark/>
          </w:tcPr>
          <w:p w:rsidR="00DD53A5" w:rsidRDefault="00DD53A5">
            <w:r>
              <w:t>evolved S-type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112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Breiter et al. 2016, 2018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Altenberg-Teplice Caldera incl. Cínovec, Krupka and Sadisdorf deposits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Czechia, Germany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volcano-plutonic A-type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421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Breiter </w:t>
            </w:r>
            <w:r>
              <w:rPr>
                <w:rFonts w:cs="Calibri"/>
                <w:lang w:val="de-DE"/>
              </w:rPr>
              <w:t>&amp;</w:t>
            </w:r>
            <w:r>
              <w:rPr>
                <w:lang w:val="de-DE"/>
              </w:rPr>
              <w:t xml:space="preserve"> Škoda 2012, Breiter et al. 2014, 2017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Wiborg+Kimi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Finland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rapakivi A-type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57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Breiter et al. 2014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Madeira pluton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Brazil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rapakivi A-type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70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Breiter et al. 2014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Khangilay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Transbaikalia, Russia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A-type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51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not published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Europa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Brazil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peralkaline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24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not published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Khan Bogd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Mongolia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peralkaline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32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Breiter et al. 2024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Khalzan Buregte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Mongolia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peralkaline + A-type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74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Breiter et al. 2024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Central Moldanubian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Czechia, Austria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S-type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208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partly in Breiter 2016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Tis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Czechia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primitive S-type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25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not publ.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Třebíč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Moravia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melagranites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13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not publ.</w:t>
            </w:r>
          </w:p>
        </w:tc>
      </w:tr>
      <w:tr w:rsidR="00DD53A5" w:rsidTr="00DD53A5">
        <w:tc>
          <w:tcPr>
            <w:tcW w:w="990" w:type="pct"/>
            <w:hideMark/>
          </w:tcPr>
          <w:p w:rsidR="00DD53A5" w:rsidRDefault="00DD53A5">
            <w:pPr>
              <w:spacing w:after="0" w:line="360" w:lineRule="auto"/>
            </w:pPr>
            <w:r>
              <w:t>Šumava Mts.</w:t>
            </w:r>
          </w:p>
        </w:tc>
        <w:tc>
          <w:tcPr>
            <w:tcW w:w="1052" w:type="pct"/>
            <w:hideMark/>
          </w:tcPr>
          <w:p w:rsidR="00DD53A5" w:rsidRDefault="00DD53A5">
            <w:pPr>
              <w:spacing w:after="0" w:line="360" w:lineRule="auto"/>
            </w:pPr>
            <w:r>
              <w:t>Czechia, Austria</w:t>
            </w:r>
          </w:p>
        </w:tc>
        <w:tc>
          <w:tcPr>
            <w:tcW w:w="1051" w:type="pct"/>
            <w:hideMark/>
          </w:tcPr>
          <w:p w:rsidR="00DD53A5" w:rsidRDefault="00DD53A5">
            <w:pPr>
              <w:spacing w:after="0" w:line="360" w:lineRule="auto"/>
            </w:pPr>
            <w:r>
              <w:t>melasyenites</w:t>
            </w:r>
          </w:p>
        </w:tc>
        <w:tc>
          <w:tcPr>
            <w:tcW w:w="760" w:type="pct"/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28</w:t>
            </w:r>
          </w:p>
        </w:tc>
        <w:tc>
          <w:tcPr>
            <w:tcW w:w="1147" w:type="pct"/>
            <w:hideMark/>
          </w:tcPr>
          <w:p w:rsidR="00DD53A5" w:rsidRDefault="00DD53A5">
            <w:pPr>
              <w:spacing w:after="0" w:line="360" w:lineRule="auto"/>
            </w:pPr>
            <w:r>
              <w:t>not publ.</w:t>
            </w:r>
          </w:p>
        </w:tc>
      </w:tr>
      <w:tr w:rsidR="00DD53A5" w:rsidTr="00DD53A5"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</w:pPr>
            <w:r>
              <w:t>Orthogneiss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</w:pPr>
            <w:r>
              <w:t xml:space="preserve">Czechia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</w:pPr>
            <w:r>
              <w:t>S-type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  <w:jc w:val="center"/>
            </w:pPr>
            <w:r>
              <w:t>132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53A5" w:rsidRDefault="00DD53A5">
            <w:pPr>
              <w:spacing w:after="0" w:line="360" w:lineRule="auto"/>
              <w:rPr>
                <w:lang w:val="de-DE"/>
              </w:rPr>
            </w:pPr>
            <w:r>
              <w:rPr>
                <w:lang w:val="de-DE"/>
              </w:rPr>
              <w:t>partly in Breiter et al. 2005b</w:t>
            </w:r>
          </w:p>
        </w:tc>
      </w:tr>
    </w:tbl>
    <w:p w:rsidR="000B1F14" w:rsidRDefault="009E41C7"/>
    <w:sectPr w:rsidR="000B1F1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3A5"/>
    <w:rsid w:val="003355CB"/>
    <w:rsid w:val="0061575B"/>
    <w:rsid w:val="009E41C7"/>
    <w:rsid w:val="00AC56F7"/>
    <w:rsid w:val="00DD53A5"/>
    <w:rsid w:val="00EC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43EF9"/>
  <w15:docId w15:val="{C8BB35EE-1BEA-4C09-B1AC-FA449320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D53A5"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D53A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7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Breiter Karel GEO</dc:creator>
  <cp:lastModifiedBy>Lubica Puskelova</cp:lastModifiedBy>
  <cp:revision>2</cp:revision>
  <dcterms:created xsi:type="dcterms:W3CDTF">2025-09-17T08:09:00Z</dcterms:created>
  <dcterms:modified xsi:type="dcterms:W3CDTF">2025-09-18T11:00:00Z</dcterms:modified>
</cp:coreProperties>
</file>