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E68" w:rsidRDefault="00182F4E">
      <w:pPr>
        <w:jc w:val="center"/>
        <w:rPr>
          <w:rFonts w:ascii="Times New Roman" w:hAnsi="Times New Roman" w:cs="Times New Roman"/>
          <w:b/>
          <w:color w:val="000000"/>
          <w:sz w:val="40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40"/>
          <w:szCs w:val="24"/>
          <w:shd w:val="clear" w:color="auto" w:fill="FFFFFF"/>
          <w:lang w:val="en-US"/>
        </w:rPr>
        <w:t>CURRICULUM VITAE</w:t>
      </w:r>
    </w:p>
    <w:p w:rsidR="009E5E68" w:rsidRDefault="00182F4E">
      <w:pPr>
        <w:jc w:val="center"/>
        <w:rPr>
          <w:rFonts w:ascii="Times New Roman" w:hAnsi="Times New Roman" w:cs="Times New Roman"/>
          <w:b/>
          <w:color w:val="000000"/>
          <w:sz w:val="40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40"/>
          <w:szCs w:val="24"/>
          <w:shd w:val="clear" w:color="auto" w:fill="FFFFFF"/>
          <w:lang w:val="en-US"/>
        </w:rPr>
        <w:t xml:space="preserve">Dr. Peter </w:t>
      </w:r>
      <w:proofErr w:type="spellStart"/>
      <w:r>
        <w:rPr>
          <w:rFonts w:ascii="Times New Roman" w:hAnsi="Times New Roman" w:cs="Times New Roman"/>
          <w:b/>
          <w:color w:val="000000"/>
          <w:sz w:val="40"/>
          <w:szCs w:val="24"/>
          <w:shd w:val="clear" w:color="auto" w:fill="FFFFFF"/>
          <w:lang w:val="en-US"/>
        </w:rPr>
        <w:t>Kopčanský</w:t>
      </w:r>
      <w:proofErr w:type="spellEnd"/>
    </w:p>
    <w:p w:rsidR="009E5E68" w:rsidRDefault="00182F4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en-US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4710430</wp:posOffset>
            </wp:positionH>
            <wp:positionV relativeFrom="paragraph">
              <wp:posOffset>6350</wp:posOffset>
            </wp:positionV>
            <wp:extent cx="1821180" cy="1689100"/>
            <wp:effectExtent l="0" t="0" r="7620" b="635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5E68" w:rsidRDefault="00182F4E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Affiliation and official address: </w:t>
      </w:r>
    </w:p>
    <w:p w:rsidR="009E5E68" w:rsidRDefault="00182F4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Institute of Experimental Physics SAS,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Watsonova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47, 040 01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Košice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Slovak Republic </w:t>
      </w:r>
    </w:p>
    <w:p w:rsidR="009E5E68" w:rsidRDefault="00182F4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Phone: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+421 55 7922259</w:t>
      </w:r>
    </w:p>
    <w:p w:rsidR="009E5E68" w:rsidRDefault="00182F4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Fax: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+421 55/6336292</w:t>
      </w:r>
    </w:p>
    <w:p w:rsidR="009E5E68" w:rsidRDefault="00182F4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E-mail: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kopcan@saske.sk</w:t>
      </w:r>
    </w:p>
    <w:p w:rsidR="009E5E68" w:rsidRDefault="00182F4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Date and place of birth: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02.12.1955;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Zakamenne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 Slovakia</w:t>
      </w:r>
    </w:p>
    <w:p w:rsidR="009E5E68" w:rsidRDefault="00182F4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Nationality: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Slovak</w:t>
      </w:r>
      <w:bookmarkStart w:id="0" w:name="_GoBack"/>
      <w:bookmarkEnd w:id="0"/>
    </w:p>
    <w:p w:rsidR="009E5E68" w:rsidRDefault="00182F4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Language ability: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Slovak, Russian, English, German</w:t>
      </w:r>
    </w:p>
    <w:p w:rsidR="009E5E68" w:rsidRDefault="00182F4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Scopus profile: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hyperlink r:id="rId6">
        <w:r>
          <w:rPr>
            <w:rStyle w:val="Hypertextovprepojenie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https://www.scopus.com/authid/detail.uri?authorId=700361</w:t>
        </w:r>
        <w:r>
          <w:rPr>
            <w:rStyle w:val="Hypertextovprepojenie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6265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p w:rsidR="009E5E68" w:rsidRDefault="00182F4E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ORCID profile: </w:t>
      </w:r>
    </w:p>
    <w:p w:rsidR="009E5E68" w:rsidRDefault="00182F4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hyperlink r:id="rId7">
        <w:r>
          <w:rPr>
            <w:rStyle w:val="Hypertextovprepojenie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https://orcid.org/0000-0002-5278-9504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p w:rsidR="009E5E68" w:rsidRDefault="00182F4E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ResearchGate profile: </w:t>
      </w:r>
    </w:p>
    <w:p w:rsidR="009E5E68" w:rsidRDefault="00182F4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hyperlink r:id="rId8">
        <w:r>
          <w:rPr>
            <w:rStyle w:val="Hypertextovprepojenie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https://www.researchgate.net/profile/Peter-Kopcansky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p w:rsidR="009E5E68" w:rsidRDefault="009E5E6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9E5E68" w:rsidRDefault="00182F4E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Education/Career:</w:t>
      </w:r>
    </w:p>
    <w:p w:rsidR="009E5E68" w:rsidRDefault="00182F4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1980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– Graduate of Faculty of Sciences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Safarik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University,Kosice</w:t>
      </w:r>
      <w:proofErr w:type="spellEnd"/>
      <w:proofErr w:type="gramEnd"/>
    </w:p>
    <w:p w:rsidR="009E5E68" w:rsidRDefault="00182F4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1985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– PhD degree in the field of condensed matter physics at the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Safarik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University</w:t>
      </w:r>
    </w:p>
    <w:p w:rsidR="009E5E68" w:rsidRDefault="00182F4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1989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– Senior research fellow at Institute of Experimental Physics SAS</w:t>
      </w:r>
    </w:p>
    <w:p w:rsidR="009E5E68" w:rsidRDefault="00182F4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199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-2007 and 2015-2019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– Director of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Institute of Experimental Physics SAS</w:t>
      </w:r>
    </w:p>
    <w:p w:rsidR="009E5E68" w:rsidRDefault="00182F4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1998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– Leading/research professor at Institute of Experimental Physics SAS</w:t>
      </w:r>
    </w:p>
    <w:p w:rsidR="009E5E68" w:rsidRDefault="00182F4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2006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– Honorary Doctor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Uzhhorod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Nat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ional University</w:t>
      </w:r>
    </w:p>
    <w:p w:rsidR="009E5E68" w:rsidRDefault="009E5E6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9E5E68" w:rsidRDefault="00182F4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</w:t>
      </w:r>
    </w:p>
    <w:p w:rsidR="009E5E68" w:rsidRDefault="00182F4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br w:type="page"/>
      </w:r>
    </w:p>
    <w:p w:rsidR="009E5E68" w:rsidRDefault="00182F4E">
      <w:pPr>
        <w:tabs>
          <w:tab w:val="left" w:pos="3402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Cs w:val="18"/>
          <w:lang w:val="en-US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18"/>
          <w:lang w:val="en-US" w:eastAsia="uk-UA"/>
        </w:rPr>
        <w:lastRenderedPageBreak/>
        <w:t>Specialization</w:t>
      </w:r>
      <w:r>
        <w:rPr>
          <w:rFonts w:ascii="Times New Roman" w:eastAsia="Times New Roman" w:hAnsi="Times New Roman" w:cs="Times New Roman"/>
          <w:color w:val="000000"/>
          <w:szCs w:val="18"/>
          <w:lang w:val="en-US" w:eastAsia="uk-UA"/>
        </w:rPr>
        <w:t>:</w:t>
      </w:r>
    </w:p>
    <w:p w:rsidR="009E5E68" w:rsidRDefault="00182F4E">
      <w:pPr>
        <w:tabs>
          <w:tab w:val="left" w:pos="3402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uk-UA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uk-UA"/>
        </w:rPr>
        <w:t>composite systems containing liquid crystals (traditional as well 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uk-UA"/>
        </w:rPr>
        <w:t>biological);</w:t>
      </w:r>
    </w:p>
    <w:p w:rsidR="009E5E68" w:rsidRDefault="00182F4E">
      <w:pPr>
        <w:tabs>
          <w:tab w:val="left" w:pos="3402"/>
        </w:tabs>
        <w:spacing w:after="0" w:line="240" w:lineRule="auto"/>
        <w:ind w:right="-1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en-US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en-US" w:eastAsia="uk-UA"/>
        </w:rPr>
        <w:t>-magnetic nanoparticles used in nanotechnology of magnetic fluids;</w:t>
      </w:r>
    </w:p>
    <w:p w:rsidR="009E5E68" w:rsidRDefault="00182F4E">
      <w:pPr>
        <w:tabs>
          <w:tab w:val="left" w:pos="3402"/>
        </w:tabs>
        <w:spacing w:after="0" w:line="240" w:lineRule="auto"/>
        <w:ind w:right="-1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en-US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en-US" w:eastAsia="uk-UA"/>
        </w:rPr>
        <w:t>-increasing lifetime of high-power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en-US" w:eastAsia="uk-UA"/>
        </w:rPr>
        <w:t xml:space="preserve"> transformers;</w:t>
      </w:r>
    </w:p>
    <w:p w:rsidR="009E5E68" w:rsidRDefault="00182F4E">
      <w:pPr>
        <w:tabs>
          <w:tab w:val="left" w:pos="3402"/>
        </w:tabs>
        <w:spacing w:after="0" w:line="240" w:lineRule="auto"/>
        <w:ind w:right="-1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en-US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en-US" w:eastAsia="uk-UA"/>
        </w:rPr>
        <w:t>-biomedical applications of magnetic fluids for magnetic drug targeting;</w:t>
      </w:r>
    </w:p>
    <w:p w:rsidR="009E5E68" w:rsidRDefault="00182F4E">
      <w:pPr>
        <w:tabs>
          <w:tab w:val="left" w:pos="3402"/>
        </w:tabs>
        <w:spacing w:after="0" w:line="240" w:lineRule="auto"/>
        <w:ind w:right="-1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en-US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en-US" w:eastAsia="uk-UA"/>
        </w:rPr>
        <w:t>-biomedical applications of magnetic fluids for immobilization of biologically active substances enzymes, proteins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en-US" w:eastAsia="uk-UA"/>
        </w:rPr>
        <w:t>and drugs;</w:t>
      </w:r>
    </w:p>
    <w:p w:rsidR="009E5E68" w:rsidRDefault="00182F4E">
      <w:pPr>
        <w:tabs>
          <w:tab w:val="left" w:pos="3402"/>
        </w:tabs>
        <w:spacing w:after="0" w:line="240" w:lineRule="auto"/>
        <w:ind w:right="-1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en-US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en-US" w:eastAsia="uk-UA"/>
        </w:rPr>
        <w:t xml:space="preserve">-study of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en-US" w:eastAsia="uk-UA"/>
        </w:rPr>
        <w:t>magnetoferritin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en-US" w:eastAsia="uk-UA"/>
        </w:rPr>
        <w:t xml:space="preserve"> and its biologic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en-US" w:eastAsia="uk-UA"/>
        </w:rPr>
        <w:t>al properties; hyperthermia and MRI in these systems;</w:t>
      </w:r>
    </w:p>
    <w:p w:rsidR="009E5E68" w:rsidRDefault="00182F4E">
      <w:pPr>
        <w:tabs>
          <w:tab w:val="left" w:pos="3402"/>
        </w:tabs>
        <w:spacing w:after="0" w:line="240" w:lineRule="auto"/>
        <w:ind w:right="-1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en-US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en-US" w:eastAsia="uk-UA"/>
        </w:rPr>
        <w:t>-structural study of investigated systems by X-ray and neutrons.</w:t>
      </w:r>
    </w:p>
    <w:p w:rsidR="009E5E68" w:rsidRDefault="009E5E68">
      <w:pPr>
        <w:tabs>
          <w:tab w:val="left" w:pos="3402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en-US" w:eastAsia="uk-UA"/>
        </w:rPr>
      </w:pPr>
    </w:p>
    <w:p w:rsidR="009E5E68" w:rsidRDefault="00182F4E">
      <w:pPr>
        <w:tabs>
          <w:tab w:val="left" w:pos="3402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en-US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en-US" w:eastAsia="uk-UA"/>
        </w:rPr>
        <w:t>Scientific projects:</w:t>
      </w:r>
    </w:p>
    <w:p w:rsidR="009E5E68" w:rsidRDefault="00182F4E">
      <w:pPr>
        <w:numPr>
          <w:ilvl w:val="0"/>
          <w:numId w:val="1"/>
        </w:numPr>
        <w:tabs>
          <w:tab w:val="left" w:pos="3402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18"/>
          <w:lang w:val="en-US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18"/>
          <w:lang w:val="en-US" w:eastAsia="uk-UA"/>
        </w:rPr>
        <w:t xml:space="preserve">PSI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18"/>
          <w:lang w:val="en-US" w:eastAsia="uk-UA"/>
        </w:rPr>
        <w:t>Villigen</w:t>
      </w:r>
      <w:proofErr w:type="spellEnd"/>
    </w:p>
    <w:p w:rsidR="009E5E68" w:rsidRDefault="00182F4E">
      <w:pPr>
        <w:numPr>
          <w:ilvl w:val="0"/>
          <w:numId w:val="1"/>
        </w:numPr>
        <w:tabs>
          <w:tab w:val="left" w:pos="3402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18"/>
          <w:lang w:val="en-US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18"/>
          <w:lang w:val="en-US" w:eastAsia="uk-UA"/>
        </w:rPr>
        <w:t>Petra III DESY Hamburg</w:t>
      </w:r>
    </w:p>
    <w:p w:rsidR="009E5E68" w:rsidRDefault="00182F4E">
      <w:pPr>
        <w:numPr>
          <w:ilvl w:val="0"/>
          <w:numId w:val="1"/>
        </w:numPr>
        <w:tabs>
          <w:tab w:val="left" w:pos="3402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18"/>
          <w:lang w:val="en-US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18"/>
          <w:lang w:val="en-US" w:eastAsia="uk-UA"/>
        </w:rPr>
        <w:t>BNC Budapest</w:t>
      </w:r>
    </w:p>
    <w:p w:rsidR="009E5E68" w:rsidRDefault="00182F4E">
      <w:pPr>
        <w:numPr>
          <w:ilvl w:val="0"/>
          <w:numId w:val="1"/>
        </w:numPr>
        <w:tabs>
          <w:tab w:val="left" w:pos="3402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18"/>
          <w:lang w:val="en-US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18"/>
          <w:lang w:val="en-US" w:eastAsia="uk-UA"/>
        </w:rPr>
        <w:t xml:space="preserve">JINR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18"/>
          <w:lang w:val="en-US" w:eastAsia="uk-UA"/>
        </w:rPr>
        <w:t>Dubna</w:t>
      </w:r>
      <w:proofErr w:type="spellEnd"/>
    </w:p>
    <w:p w:rsidR="009E5E68" w:rsidRDefault="00182F4E">
      <w:pPr>
        <w:numPr>
          <w:ilvl w:val="0"/>
          <w:numId w:val="1"/>
        </w:numPr>
        <w:tabs>
          <w:tab w:val="left" w:pos="3402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18"/>
          <w:lang w:val="en-US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18"/>
          <w:lang w:val="en-US" w:eastAsia="uk-UA"/>
        </w:rPr>
        <w:t>ILL Grenoble</w:t>
      </w:r>
    </w:p>
    <w:p w:rsidR="009E5E68" w:rsidRDefault="00182F4E">
      <w:pPr>
        <w:numPr>
          <w:ilvl w:val="0"/>
          <w:numId w:val="1"/>
        </w:numPr>
        <w:tabs>
          <w:tab w:val="left" w:pos="3402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18"/>
          <w:lang w:val="en-US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18"/>
          <w:lang w:val="en-US" w:eastAsia="uk-UA"/>
        </w:rPr>
        <w:t>MHZ Munich</w:t>
      </w:r>
    </w:p>
    <w:p w:rsidR="009E5E68" w:rsidRDefault="009E5E68">
      <w:pPr>
        <w:tabs>
          <w:tab w:val="left" w:pos="3402"/>
        </w:tabs>
        <w:spacing w:after="0" w:line="240" w:lineRule="auto"/>
        <w:ind w:right="-1"/>
        <w:rPr>
          <w:rFonts w:ascii="Times New Roman" w:eastAsia="Times New Roman" w:hAnsi="Times New Roman" w:cs="Times New Roman"/>
          <w:bCs/>
          <w:color w:val="000000"/>
          <w:sz w:val="24"/>
          <w:szCs w:val="18"/>
          <w:lang w:val="en-US" w:eastAsia="uk-UA"/>
        </w:rPr>
      </w:pPr>
    </w:p>
    <w:p w:rsidR="009E5E68" w:rsidRDefault="00182F4E">
      <w:pPr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en-US" w:eastAsia="uk-UA"/>
        </w:rPr>
        <w:t>Scientific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uk-UA"/>
        </w:rPr>
        <w:t xml:space="preserve"> Activities:</w:t>
      </w:r>
    </w:p>
    <w:p w:rsidR="009E5E68" w:rsidRDefault="00182F4E">
      <w:pPr>
        <w:numPr>
          <w:ilvl w:val="0"/>
          <w:numId w:val="1"/>
        </w:numPr>
        <w:spacing w:after="0" w:line="240" w:lineRule="auto"/>
        <w:ind w:right="5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lang w:val="en-GB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lang w:val="en-GB" w:eastAsia="uk-UA"/>
        </w:rPr>
        <w:t xml:space="preserve">member </w:t>
      </w:r>
      <w:r>
        <w:rPr>
          <w:rFonts w:ascii="Times New Roman" w:eastAsia="Times New Roman" w:hAnsi="Times New Roman" w:cs="Times New Roman"/>
          <w:bCs/>
          <w:color w:val="000000"/>
          <w:sz w:val="24"/>
          <w:lang w:val="en-GB" w:eastAsia="uk-UA"/>
        </w:rPr>
        <w:t>of committee for selection of proposals ILL Grenoble</w:t>
      </w:r>
    </w:p>
    <w:p w:rsidR="009E5E68" w:rsidRDefault="00182F4E">
      <w:pPr>
        <w:numPr>
          <w:ilvl w:val="0"/>
          <w:numId w:val="1"/>
        </w:numPr>
        <w:spacing w:after="0" w:line="240" w:lineRule="auto"/>
        <w:ind w:right="5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lang w:val="en-GB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lang w:val="en-GB" w:eastAsia="uk-UA"/>
        </w:rPr>
        <w:t xml:space="preserve">member of committee for selection of proposals JINR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lang w:val="en-GB" w:eastAsia="uk-UA"/>
        </w:rPr>
        <w:t>Dubna</w:t>
      </w:r>
      <w:proofErr w:type="spellEnd"/>
    </w:p>
    <w:p w:rsidR="009E5E68" w:rsidRDefault="00182F4E">
      <w:pPr>
        <w:numPr>
          <w:ilvl w:val="0"/>
          <w:numId w:val="1"/>
        </w:numPr>
        <w:spacing w:after="0" w:line="240" w:lineRule="auto"/>
        <w:ind w:right="5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lang w:val="en-GB" w:eastAsia="uk-UA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lang w:val="en-GB" w:eastAsia="uk-UA"/>
        </w:rPr>
        <w:t>superviser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lang w:val="en-GB" w:eastAsia="uk-UA"/>
        </w:rPr>
        <w:t xml:space="preserve"> of many national and international projects: PI, British council, NATO, 5FP of EU,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lang w:val="en-GB" w:eastAsia="uk-UA"/>
        </w:rPr>
        <w:t>Euronanomed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lang w:val="en-GB" w:eastAsia="uk-UA"/>
        </w:rPr>
        <w:t xml:space="preserve">, Era net, COST, Slovak SAS-Taiwan MOST </w:t>
      </w:r>
      <w:r>
        <w:rPr>
          <w:rFonts w:ascii="Times New Roman" w:eastAsia="Times New Roman" w:hAnsi="Times New Roman" w:cs="Times New Roman"/>
          <w:bCs/>
          <w:color w:val="000000"/>
          <w:sz w:val="24"/>
          <w:lang w:val="en-GB" w:eastAsia="uk-UA"/>
        </w:rPr>
        <w:t>projects</w:t>
      </w:r>
    </w:p>
    <w:p w:rsidR="009E5E68" w:rsidRDefault="00182F4E">
      <w:pPr>
        <w:numPr>
          <w:ilvl w:val="0"/>
          <w:numId w:val="1"/>
        </w:numPr>
        <w:spacing w:after="0" w:line="240" w:lineRule="auto"/>
        <w:ind w:right="5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lang w:val="en-GB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lang w:val="en-GB" w:eastAsia="uk-UA"/>
        </w:rPr>
        <w:t xml:space="preserve">head of Centre of excellence: Cooperative and phase phenomena in condensed matter physics, </w:t>
      </w:r>
    </w:p>
    <w:p w:rsidR="009E5E68" w:rsidRDefault="00182F4E">
      <w:pPr>
        <w:numPr>
          <w:ilvl w:val="0"/>
          <w:numId w:val="1"/>
        </w:numPr>
        <w:spacing w:after="0" w:line="240" w:lineRule="auto"/>
        <w:ind w:right="5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lang w:val="en-GB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lang w:val="en-GB" w:eastAsia="uk-UA"/>
        </w:rPr>
        <w:t>head of Centre of excellence NANOFLUID</w:t>
      </w:r>
    </w:p>
    <w:p w:rsidR="009E5E68" w:rsidRDefault="00182F4E">
      <w:pPr>
        <w:numPr>
          <w:ilvl w:val="0"/>
          <w:numId w:val="1"/>
        </w:numPr>
        <w:spacing w:after="0" w:line="240" w:lineRule="auto"/>
        <w:ind w:right="56"/>
        <w:contextualSpacing/>
        <w:jc w:val="both"/>
        <w:rPr>
          <w:rFonts w:ascii="Times New Roman" w:eastAsia="Times New Roman" w:hAnsi="Times New Roman" w:cs="Times New Roman"/>
          <w:bCs/>
          <w:color w:val="000000"/>
          <w:szCs w:val="20"/>
          <w:lang w:val="en-GB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uk-UA"/>
        </w:rPr>
        <w:t>chairman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uk-UA"/>
        </w:rPr>
        <w:t xml:space="preserve">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uk-UA"/>
        </w:rPr>
        <w:t>organizator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uk-UA"/>
        </w:rPr>
        <w:t xml:space="preserve"> of over 30 international conferences</w:t>
      </w:r>
    </w:p>
    <w:p w:rsidR="009E5E68" w:rsidRDefault="00182F4E">
      <w:pPr>
        <w:numPr>
          <w:ilvl w:val="0"/>
          <w:numId w:val="1"/>
        </w:numPr>
        <w:spacing w:after="0" w:line="240" w:lineRule="auto"/>
        <w:ind w:right="5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lang w:val="en-GB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lang w:val="en-GB" w:eastAsia="uk-UA"/>
        </w:rPr>
        <w:t>over 60 invitations to give plenary and invited talks.</w:t>
      </w:r>
    </w:p>
    <w:p w:rsidR="009E5E68" w:rsidRDefault="009E5E68">
      <w:pPr>
        <w:tabs>
          <w:tab w:val="left" w:pos="3402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en-GB" w:eastAsia="uk-UA"/>
        </w:rPr>
      </w:pPr>
    </w:p>
    <w:p w:rsidR="009E5E68" w:rsidRDefault="00182F4E">
      <w:pPr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en-US" w:eastAsia="uk-UA"/>
        </w:rPr>
        <w:t>Number of thesis supervised: 16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uk-UA"/>
        </w:rPr>
        <w:t xml:space="preserve"> defended PhD students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uk-UA"/>
        </w:rPr>
        <w:t>.</w:t>
      </w:r>
    </w:p>
    <w:p w:rsidR="009E5E68" w:rsidRDefault="009E5E68">
      <w:pPr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uk-UA"/>
        </w:rPr>
      </w:pPr>
    </w:p>
    <w:p w:rsidR="009E5E68" w:rsidRDefault="00182F4E">
      <w:pPr>
        <w:tabs>
          <w:tab w:val="left" w:pos="2268"/>
        </w:tabs>
        <w:spacing w:after="0" w:line="240" w:lineRule="auto"/>
        <w:ind w:left="2268" w:right="56" w:hanging="226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en-US" w:eastAsia="uk-UA"/>
        </w:rPr>
        <w:t>Publication Scientific activity: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en-US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uk-UA"/>
        </w:rPr>
        <w:t>2 books, 5 chapters in books, 11 patents,</w:t>
      </w:r>
    </w:p>
    <w:p w:rsidR="009E5E68" w:rsidRDefault="00182F4E">
      <w:pPr>
        <w:tabs>
          <w:tab w:val="left" w:pos="1560"/>
        </w:tabs>
        <w:spacing w:after="0" w:line="240" w:lineRule="auto"/>
        <w:ind w:left="2268" w:right="56" w:hanging="226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uk-UA"/>
        </w:rPr>
        <w:tab/>
        <w:t>over 300 papers in high profile journals</w:t>
      </w:r>
    </w:p>
    <w:p w:rsidR="009E5E68" w:rsidRDefault="00182F4E">
      <w:pPr>
        <w:tabs>
          <w:tab w:val="left" w:pos="1560"/>
        </w:tabs>
        <w:spacing w:after="0" w:line="240" w:lineRule="auto"/>
        <w:ind w:left="2880" w:right="56" w:hanging="226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uk-UA"/>
        </w:rPr>
        <w:tab/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uk-UA"/>
        </w:rPr>
        <w:t>total citations –over 3000, h-index = 27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uk-UA"/>
        </w:rPr>
        <w:t>)</w:t>
      </w:r>
    </w:p>
    <w:p w:rsidR="009E5E68" w:rsidRDefault="009E5E6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9E5E68" w:rsidRDefault="00182F4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br w:type="page"/>
      </w:r>
    </w:p>
    <w:p w:rsidR="009E5E68" w:rsidRDefault="00182F4E">
      <w:pPr>
        <w:jc w:val="center"/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lastRenderedPageBreak/>
        <w:t xml:space="preserve">List of </w:t>
      </w:r>
      <w:proofErr w:type="spellStart"/>
      <w:r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>selected</w:t>
      </w:r>
      <w:proofErr w:type="spellEnd"/>
      <w:r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>publications</w:t>
      </w:r>
      <w:proofErr w:type="spellEnd"/>
      <w:r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 xml:space="preserve"> in 2016-2021</w:t>
      </w:r>
      <w:r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  <w:lang w:val="uk-UA"/>
        </w:rPr>
        <w:t xml:space="preserve"> </w:t>
      </w:r>
    </w:p>
    <w:p w:rsidR="009E5E68" w:rsidRDefault="009E5E68">
      <w:pPr>
        <w:jc w:val="center"/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</w:pPr>
    </w:p>
    <w:p w:rsidR="009E5E68" w:rsidRDefault="009E5E68">
      <w:pPr>
        <w:jc w:val="center"/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  <w:lang w:val="uk-UA"/>
        </w:rPr>
      </w:pPr>
    </w:p>
    <w:p w:rsidR="009E5E68" w:rsidRDefault="00182F4E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Biasing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ferronematic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– a new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way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to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detectweakmagneticfield</w:t>
      </w:r>
      <w:proofErr w:type="spellEnd"/>
    </w:p>
    <w:p w:rsidR="009E5E68" w:rsidRDefault="00182F4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Tomašovičová, Natália - Kováč, Jozef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Raikher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Yuriy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Éber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Nándor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Tóth-Katona, Tibor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Gdovinová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Veronika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Jadzyn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Pinčák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Richard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Kopčanský,Peter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In Soft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Matter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2016,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12, no. 26, p. 5780-5786. (3.798 - IF2015). (2016 -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CurrentContent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ISSN 1744-683X. </w:t>
      </w:r>
    </w:p>
    <w:p w:rsidR="009E5E68" w:rsidRDefault="009E5E6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E5E68" w:rsidRDefault="00182F4E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2.Tuning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phase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transition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temperature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ferronematics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with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magnetic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field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9E5E68" w:rsidRDefault="00182F4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Toth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-Katona, T;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Gdovinova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V;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Tomasovicova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Eber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 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Fodor-Csorba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K 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Jurikova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Zavisova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V; Timko, M 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Chaud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X;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Kopcansky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 , Soft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Matter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14,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Issue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Pages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1647-1658, DOI: 10.1039/c7sm02383a ,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Published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MAR 7 2018 IF: 3.889,Quartile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Category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Q1</w:t>
      </w:r>
    </w:p>
    <w:p w:rsidR="009E5E68" w:rsidRDefault="00182F4E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3.Morphology and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magnetic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structure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ferritin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core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during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iron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loading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release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by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magnetooptical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nmr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methods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9E5E68" w:rsidRDefault="00182F4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Koralewski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Balejcikova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Mitroova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Z;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Pochylski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Baranowski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Mikolaj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Kopcansky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 , ACS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Applied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materials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&amp;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Interfaces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Volume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10,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Issue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Pages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7777-7787, DOI: 10.1021/acsami.7b18304,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Published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MAR 7 2018, IF: 7.504,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Quartile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Category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Q1</w:t>
      </w:r>
    </w:p>
    <w:p w:rsidR="009E5E68" w:rsidRDefault="009E5E6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E5E68" w:rsidRDefault="00182F4E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4.Particle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assembling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induced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by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non-homogeneous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magnetic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field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at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transformer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oil-based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ferrofluid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silicon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crystal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interface by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neutron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reflectometry</w:t>
      </w:r>
      <w:proofErr w:type="spellEnd"/>
    </w:p>
    <w:p w:rsidR="009E5E68" w:rsidRDefault="00182F4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Anatolii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Nagornyi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Viktor I.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Petrenko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Michal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Rajnak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Igor V.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Gapon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Mikhail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Avdeev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Dolnik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Leonid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Bulavin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Peter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Kopcansky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Milan Timko,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Applied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Surface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Science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473 (2019) 912–917, https://doi.org/10.1016/j.apsusc.2018.12.197, IF: 4.439,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Quartile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Category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Q1</w:t>
      </w:r>
    </w:p>
    <w:p w:rsidR="009E5E68" w:rsidRDefault="00182F4E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5.State of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aggregation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and toxicity of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aqueous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fullerene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solutions</w:t>
      </w:r>
      <w:proofErr w:type="spellEnd"/>
    </w:p>
    <w:p w:rsidR="009E5E68" w:rsidRDefault="00182F4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Olena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Kyzyma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khail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Avdeev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Olga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Bolshakova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Pavel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Melentev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Svetlana V.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Sarantseva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Oleksandr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I. Ivankov,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Mikhail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Korobov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Ivan V.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Mikheev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Timur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Tropina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Martina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Kubovcikova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Peter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Kopcansky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Volodymyr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Korolovychh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Victor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Aksenov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Leonid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Bulavin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ht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tps://doi.org/10.1016/j.apsusc.2019.03.167,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Applied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Surface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Science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483 (2019) 69–75, IF: 4.439,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Quartile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Category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Q1</w:t>
      </w:r>
    </w:p>
    <w:p w:rsidR="009E5E68" w:rsidRDefault="009E5E6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E5E68" w:rsidRDefault="00182F4E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br w:type="page"/>
      </w:r>
    </w:p>
    <w:p w:rsidR="009E5E68" w:rsidRDefault="00182F4E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6.Ferromagnetic and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antiferromagnetic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liquid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crystal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suspensions:Experiment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theory</w:t>
      </w:r>
      <w:proofErr w:type="spellEnd"/>
    </w:p>
    <w:p w:rsidR="009E5E68" w:rsidRDefault="00182F4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Sergii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Burylov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Petrov, Veronika Lacko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vá, Katarína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Zakutanská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Natalia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Burylova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Alexey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Voroshilova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Vyacheslav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Skosara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Filippo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Agrestid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Peter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Kopčanský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NatáliaTomašovičová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Journal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Molecular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Liquids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MOLLIQ-114467; No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Pages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13, https://doi.org/10.1016/j.molliq.2020.114467, IF: 5,077,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Quartile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Category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Q1  </w:t>
      </w:r>
    </w:p>
    <w:p w:rsidR="009E5E68" w:rsidRDefault="00182F4E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7.Electrical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discharges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ferrofluids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based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on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mineral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oil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novelgas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-to-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liquid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oil</w:t>
      </w:r>
      <w:proofErr w:type="spellEnd"/>
    </w:p>
    <w:p w:rsidR="009E5E68" w:rsidRDefault="00182F4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Juraj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Kurimsky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Michal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Rajnak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Roman Cimbala,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Katarina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Paulovicova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Zbigniew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Rozynek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:rsidR="009E5E68" w:rsidRDefault="00182F4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Peter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Kopcansky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Milan Timko,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Journal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Molecular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Liqu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ids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325 (2021) 115244, https://doi.org/10.1016/j.molliq.2020.115244, IF: 5,854,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Quartile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Category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Q1</w:t>
      </w:r>
    </w:p>
    <w:p w:rsidR="009E5E68" w:rsidRDefault="00182F4E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8.Birefringence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dispersion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of 6CHBT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liquid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crystal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determined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in VIS-NIR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spectral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range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9E5E68" w:rsidRDefault="00182F4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Norbert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Tarjányi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 Marek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Veveričík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 Daniel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Káčik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 Milan Tim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 , Peter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Kopčanský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Applied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Surface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Science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542 (2021) 148525,  https://doi.org/10.1016/j.apsusc.2020.148525, IF: 6,612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Quartile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Category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Q1</w:t>
      </w:r>
    </w:p>
    <w:p w:rsidR="009E5E68" w:rsidRDefault="009E5E6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E5E68" w:rsidRDefault="00182F4E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9.Cotton textile/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iron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oxide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nanozyme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composites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with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peroxidase-like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activity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preparation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characterizatio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and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application</w:t>
      </w:r>
      <w:proofErr w:type="spellEnd"/>
    </w:p>
    <w:p w:rsidR="009E5E68" w:rsidRDefault="00182F4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Ivo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Safarik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Jitka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Prochazkova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Martin A.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Schroer,Vasil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Garamus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Peter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Kopcansky,Milan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Timko, Michal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Rajnak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Maksym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Karpets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Oleksandr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I. Ivankov,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Mikhail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Avdeev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Viktor I.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Petrenko,Leonid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Bulavin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Kristyna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Pospiskova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ACS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Mater.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Interfaces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2021, 13, 23627−23637, https://doi.org/10.1021/acsami.1c02154, IF: 8,758,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Quartile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Category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Q1    </w:t>
      </w:r>
    </w:p>
    <w:p w:rsidR="009E5E68" w:rsidRDefault="009E5E6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E5E68" w:rsidRDefault="00182F4E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10.Orientational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self-assembly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nanoparticles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innematic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droplets</w:t>
      </w:r>
      <w:proofErr w:type="spellEnd"/>
    </w:p>
    <w:p w:rsidR="009E5E68" w:rsidRDefault="00182F4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Natalia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Tomasovicova,Marianna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Batkova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Ivan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Batko,Veronika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Lackova,Vlasta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Zavisova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Peter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Kopcansky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Jadzyn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Peter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Salamoncand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Tibor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Toth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-Katona,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Nanoscale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Advances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2021,3, 2777–2781, DOI: 10.1039/d1na00089f, IF: 4,384,Quartile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Category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Q1    </w:t>
      </w:r>
    </w:p>
    <w:p w:rsidR="009E5E68" w:rsidRDefault="009E5E6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E5E68" w:rsidRDefault="00182F4E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11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.Controllability of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ferrofluids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’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dielectric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spectrum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by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means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external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electric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forces</w:t>
      </w:r>
      <w:proofErr w:type="spellEnd"/>
    </w:p>
    <w:p w:rsidR="009E5E68" w:rsidRDefault="00182F4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Michal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Rajnak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Bystrik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Dolnik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Jakub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Krempasky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Roman Cimbala,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Kinnari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Parekh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Ramesh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Upadhyay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Katarina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Paulovicova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Peter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Kopcansky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Milan Timko,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Journal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Phys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ics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Applied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Physics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 54 (2021) 035303 (11pp), https://doi.org/10.1088/1361-6463/abbeb6, IF:  3,541,Quartile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Category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Q1   </w:t>
      </w:r>
    </w:p>
    <w:p w:rsidR="009E5E68" w:rsidRDefault="009E5E6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9E5E6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Journal"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E4B19"/>
    <w:multiLevelType w:val="multilevel"/>
    <w:tmpl w:val="64BE4F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DF50676"/>
    <w:multiLevelType w:val="multilevel"/>
    <w:tmpl w:val="3758AF06"/>
    <w:lvl w:ilvl="0">
      <w:start w:val="199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E68"/>
    <w:rsid w:val="00182F4E"/>
    <w:rsid w:val="009E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7B771-CAEE-48C5-9973-E43D9A54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C79A1"/>
    <w:rPr>
      <w:color w:val="0000FF"/>
      <w:u w:val="single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ohit Devanagari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ohit Devanagari"/>
      <w:lang/>
    </w:rPr>
  </w:style>
  <w:style w:type="paragraph" w:styleId="Odsekzoznamu">
    <w:name w:val="List Paragraph"/>
    <w:basedOn w:val="Normlny"/>
    <w:uiPriority w:val="34"/>
    <w:qFormat/>
    <w:rsid w:val="00F90B56"/>
    <w:pPr>
      <w:spacing w:after="0" w:line="240" w:lineRule="auto"/>
      <w:ind w:left="720"/>
      <w:contextualSpacing/>
    </w:pPr>
    <w:rPr>
      <w:rFonts w:ascii="Journal" w:eastAsia="Times New Roman" w:hAnsi="Journal" w:cs="Times New Roman"/>
      <w:color w:val="000000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Peter-Kopcansk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5278-95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opus.com/authid/detail.uri?authorId=7003616265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dc:description/>
  <cp:lastModifiedBy>Marcela</cp:lastModifiedBy>
  <cp:revision>2</cp:revision>
  <dcterms:created xsi:type="dcterms:W3CDTF">2022-08-04T16:20:00Z</dcterms:created>
  <dcterms:modified xsi:type="dcterms:W3CDTF">2022-08-04T16:20:00Z</dcterms:modified>
  <dc:language>en-US</dc:language>
</cp:coreProperties>
</file>